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Электростали Московской области разъясняет.</w:t>
      </w:r>
    </w:p>
    <w:p w14:paraId="02000000">
      <w:pPr>
        <w:spacing w:after="0" w:before="168"/>
        <w:ind w:firstLine="0" w:left="0" w:right="0"/>
        <w:jc w:val="both"/>
        <w:rPr>
          <w:b w:val="0"/>
        </w:rPr>
      </w:pPr>
    </w:p>
    <w:p w14:paraId="03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1"/>
          <w:sz w:val="28"/>
        </w:rPr>
        <w:t>Неисполнение решения межведомственного органа по противодействию экстремистской деятельности повлечет наложение административного штрафа до 50 тысяч рублей</w:t>
      </w:r>
    </w:p>
    <w:p w14:paraId="04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5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t>Федеральный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trike w:val="0"/>
          <w:color w:val="0000FF"/>
          <w:sz w:val="28"/>
          <w:u w:color="000000" w:val="single"/>
        </w:rPr>
        <w:t>закон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 04.11.2025 N 404-ФЗ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"О внесении изменений в Кодекс Российской Федерации об административных правонарушениях"</w:t>
      </w:r>
      <w:r>
        <w:rPr>
          <w:rFonts w:ascii="Times New Roman" w:hAnsi="Times New Roman"/>
          <w:sz w:val="28"/>
        </w:rPr>
        <w:t> </w:t>
      </w:r>
    </w:p>
    <w:p w14:paraId="06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 КоАП РФ включена статья 19.5.4, согласно которой неисполнение решения сформированного по решению Президента РФ на федеральном уровне межведомственного органа, обеспечивающего координацию деятельности федеральных органов исполнительной власти, исполнительных органов субъектов РФ и органов местного самоуправления по противодействию экстремистской деятельности и реализацию государственной политики в области противодействия экстремизму, принятого в пределах компетенции указанного межведомственного органа, повлечет наложение штрафа на должностных лиц в размере от 30 тысяч до 50 тысяч рублей или дисквалификацию на срок от 1 года до 3 лет.</w:t>
      </w:r>
    </w:p>
    <w:p w14:paraId="07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Дела об административных правонарушениях, предусмотренных указанной статьей, будут рассматриваться судьями районных судов, а возбуждаться прокурором.</w:t>
      </w:r>
    </w:p>
    <w:p w14:paraId="08000000">
      <w:pPr>
        <w:spacing w:after="0" w:before="0"/>
        <w:ind w:firstLine="0" w:left="0" w:right="0"/>
        <w:jc w:val="both"/>
        <w:rPr>
          <w:b w:val="0"/>
        </w:rPr>
      </w:pPr>
      <w:r>
        <w:rPr>
          <w:b w:val="0"/>
        </w:rPr>
        <w:t> </w:t>
      </w:r>
    </w:p>
    <w:p w14:paraId="09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A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Шаркова Ольга Викторовна </w:t>
      </w:r>
    </w:p>
    <w:sectPr>
      <w:pgSz w:h="16838" w:orient="portrait" w:w="11906"/>
      <w:pgMar w:bottom="1134" w:footer="708" w:gutter="0" w:header="708" w:left="1701" w:right="566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header"/>
    <w:basedOn w:val="Style_1"/>
    <w:link w:val="Style_8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8_ch" w:type="character">
    <w:name w:val="header"/>
    <w:basedOn w:val="Style_1_ch"/>
    <w:link w:val="Style_8"/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ConsPlusNormal"/>
    <w:link w:val="Style_12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12_ch" w:type="character">
    <w:name w:val="ConsPlusNormal"/>
    <w:link w:val="Style_12"/>
    <w:rPr>
      <w:rFonts w:ascii="Times New Roman" w:hAnsi="Times New Roman"/>
      <w:sz w:val="24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1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1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1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Normal (Web)"/>
    <w:basedOn w:val="Style_1"/>
    <w:link w:val="Style_20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0_ch" w:type="character">
    <w:name w:val="Normal (Web)"/>
    <w:basedOn w:val="Style_1_ch"/>
    <w:link w:val="Style_20"/>
    <w:rPr>
      <w:rFonts w:ascii="Times New Roman" w:hAnsi="Times New Roman"/>
      <w:sz w:val="24"/>
    </w:rPr>
  </w:style>
  <w:style w:styleId="Style_21" w:type="paragraph">
    <w:name w:val="Subtitle"/>
    <w:next w:val="Style_1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23" w:type="paragraph">
    <w:name w:val="Title"/>
    <w:next w:val="Style_1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1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2025-11-11T14:45:31Z</dcterms:modified>
</cp:coreProperties>
</file>